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9B290" w14:textId="77777777" w:rsidR="00C5739C" w:rsidRDefault="00195B94">
      <w:pPr>
        <w:rPr>
          <w:b/>
          <w:bCs/>
          <w:sz w:val="28"/>
          <w:szCs w:val="28"/>
        </w:rPr>
      </w:pPr>
      <w:r>
        <w:rPr>
          <w:b/>
          <w:bCs/>
          <w:sz w:val="28"/>
          <w:szCs w:val="28"/>
        </w:rPr>
        <w:t xml:space="preserve">CQC Local </w:t>
      </w:r>
      <w:r w:rsidR="00C5739C">
        <w:rPr>
          <w:b/>
          <w:bCs/>
          <w:sz w:val="28"/>
          <w:szCs w:val="28"/>
        </w:rPr>
        <w:t>Authority Assessment – Adult Social Care</w:t>
      </w:r>
    </w:p>
    <w:p w14:paraId="07C8E4E2" w14:textId="7DE15BBF" w:rsidR="005C1AB2" w:rsidRPr="00031B41" w:rsidRDefault="005C1AB2">
      <w:pPr>
        <w:rPr>
          <w:b/>
          <w:bCs/>
          <w:sz w:val="28"/>
          <w:szCs w:val="28"/>
        </w:rPr>
      </w:pPr>
      <w:r w:rsidRPr="00031B41">
        <w:rPr>
          <w:b/>
          <w:bCs/>
          <w:sz w:val="28"/>
          <w:szCs w:val="28"/>
        </w:rPr>
        <w:t>Member briefing</w:t>
      </w:r>
    </w:p>
    <w:p w14:paraId="468660CE" w14:textId="68E29EF8" w:rsidR="00C5739C" w:rsidRDefault="006C3D78">
      <w:pPr>
        <w:rPr>
          <w:b/>
          <w:bCs/>
        </w:rPr>
      </w:pPr>
      <w:r>
        <w:rPr>
          <w:b/>
          <w:bCs/>
        </w:rPr>
        <w:t>12</w:t>
      </w:r>
      <w:r w:rsidRPr="006C3D78">
        <w:rPr>
          <w:b/>
          <w:bCs/>
          <w:vertAlign w:val="superscript"/>
        </w:rPr>
        <w:t>th</w:t>
      </w:r>
      <w:r>
        <w:rPr>
          <w:b/>
          <w:bCs/>
        </w:rPr>
        <w:t xml:space="preserve"> December 2025</w:t>
      </w:r>
    </w:p>
    <w:p w14:paraId="2DCB2425" w14:textId="429418C0" w:rsidR="005C1AB2" w:rsidRPr="0082632A" w:rsidRDefault="005C1AB2">
      <w:pPr>
        <w:rPr>
          <w:b/>
          <w:bCs/>
        </w:rPr>
      </w:pPr>
      <w:r w:rsidRPr="0082632A">
        <w:rPr>
          <w:b/>
          <w:bCs/>
        </w:rPr>
        <w:t>Summary</w:t>
      </w:r>
    </w:p>
    <w:p w14:paraId="55D4DD69" w14:textId="128A1DD6" w:rsidR="002752C6" w:rsidRPr="002752C6" w:rsidRDefault="002752C6" w:rsidP="007022BE">
      <w:r w:rsidRPr="002752C6">
        <w:t xml:space="preserve">Following an inspection period that began on 13 January 2025, the Care Quality Commission (CQC) has </w:t>
      </w:r>
      <w:r>
        <w:t xml:space="preserve">today </w:t>
      </w:r>
      <w:r w:rsidRPr="002752C6">
        <w:t>published its report on Adult Social Services in Norfolk. The assessment, which reviewed services retrospectively, gave an overall rating of Requires Improvement, with a score of 56</w:t>
      </w:r>
      <w:r w:rsidR="00F16B34">
        <w:t>%</w:t>
      </w:r>
      <w:r w:rsidRPr="002752C6">
        <w:t xml:space="preserve">—just 6% below the threshold for </w:t>
      </w:r>
      <w:r w:rsidRPr="002752C6">
        <w:rPr>
          <w:i/>
        </w:rPr>
        <w:t>Good</w:t>
      </w:r>
      <w:r w:rsidRPr="002752C6">
        <w:t>. The report acknowledges our self</w:t>
      </w:r>
      <w:r w:rsidRPr="002752C6">
        <w:noBreakHyphen/>
        <w:t xml:space="preserve">awareness, the commitment of our staff, and the progress already made on our improvement journey. It also highlights the need to continue </w:t>
      </w:r>
      <w:r w:rsidR="000610E9">
        <w:t>this work</w:t>
      </w:r>
      <w:r w:rsidRPr="002752C6">
        <w:t xml:space="preserve"> to deliver greater consistency for Norfolk residents and explicitly endorses our ongoing transformation programme for Adult Social Services</w:t>
      </w:r>
      <w:r w:rsidR="008B6EC5">
        <w:t>, which focus</w:t>
      </w:r>
      <w:r w:rsidR="003F4230">
        <w:t>es</w:t>
      </w:r>
      <w:r w:rsidR="008B6EC5">
        <w:t xml:space="preserve"> on </w:t>
      </w:r>
      <w:r w:rsidR="00C842B9">
        <w:t xml:space="preserve">relational based practice and </w:t>
      </w:r>
      <w:r w:rsidR="003F4230">
        <w:t xml:space="preserve">building support across our communities and neighbourhoods. </w:t>
      </w:r>
    </w:p>
    <w:p w14:paraId="623EF60F" w14:textId="77777777" w:rsidR="002752C6" w:rsidRPr="002752C6" w:rsidRDefault="002752C6" w:rsidP="007022BE">
      <w:r w:rsidRPr="002752C6">
        <w:t>The assessment covered four themes and nine quality statements, drawing evidence from people’s experiences, partner feedback, staff feedback, and process reviews. Scores were awarded on a scale where 2 = Requires Improvement and 3 = Good:</w:t>
      </w:r>
    </w:p>
    <w:p w14:paraId="24729363" w14:textId="77777777" w:rsidR="002752C6" w:rsidRPr="002752C6" w:rsidRDefault="002752C6" w:rsidP="00BE4E42">
      <w:pPr>
        <w:spacing w:after="120" w:line="240" w:lineRule="auto"/>
      </w:pPr>
      <w:r w:rsidRPr="002752C6">
        <w:t>How the local authority works with people</w:t>
      </w:r>
    </w:p>
    <w:p w14:paraId="5A8D130E" w14:textId="77777777" w:rsidR="002752C6" w:rsidRPr="002752C6" w:rsidRDefault="002752C6" w:rsidP="00BE4E42">
      <w:pPr>
        <w:pStyle w:val="ListParagraph"/>
        <w:numPr>
          <w:ilvl w:val="0"/>
          <w:numId w:val="4"/>
        </w:numPr>
        <w:spacing w:after="0" w:line="240" w:lineRule="auto"/>
      </w:pPr>
      <w:r w:rsidRPr="002752C6">
        <w:t>Assessing needs – 2</w:t>
      </w:r>
    </w:p>
    <w:p w14:paraId="7120F4F9" w14:textId="77777777" w:rsidR="002752C6" w:rsidRPr="002752C6" w:rsidRDefault="002752C6" w:rsidP="00BE4E42">
      <w:pPr>
        <w:pStyle w:val="ListParagraph"/>
        <w:numPr>
          <w:ilvl w:val="0"/>
          <w:numId w:val="4"/>
        </w:numPr>
        <w:spacing w:after="0" w:line="240" w:lineRule="auto"/>
      </w:pPr>
      <w:r w:rsidRPr="002752C6">
        <w:t>Supporting people to live healthier lives – 2</w:t>
      </w:r>
    </w:p>
    <w:p w14:paraId="1862DC16" w14:textId="77777777" w:rsidR="002752C6" w:rsidRPr="002752C6" w:rsidRDefault="002752C6" w:rsidP="00BE4E42">
      <w:pPr>
        <w:pStyle w:val="ListParagraph"/>
        <w:numPr>
          <w:ilvl w:val="0"/>
          <w:numId w:val="4"/>
        </w:numPr>
        <w:spacing w:after="0" w:line="240" w:lineRule="auto"/>
      </w:pPr>
      <w:r w:rsidRPr="002752C6">
        <w:t>Equity in experience and outcomes – 2</w:t>
      </w:r>
    </w:p>
    <w:p w14:paraId="23A1F390" w14:textId="77777777" w:rsidR="002752C6" w:rsidRPr="002752C6" w:rsidRDefault="002752C6" w:rsidP="00BE4E42">
      <w:pPr>
        <w:spacing w:after="0" w:line="240" w:lineRule="auto"/>
      </w:pPr>
      <w:r w:rsidRPr="002752C6">
        <w:t>Providing support</w:t>
      </w:r>
    </w:p>
    <w:p w14:paraId="17099E4D" w14:textId="77777777" w:rsidR="002752C6" w:rsidRPr="002752C6" w:rsidRDefault="002752C6" w:rsidP="00BE4E42">
      <w:pPr>
        <w:pStyle w:val="ListParagraph"/>
        <w:numPr>
          <w:ilvl w:val="0"/>
          <w:numId w:val="5"/>
        </w:numPr>
        <w:spacing w:after="0" w:line="240" w:lineRule="auto"/>
      </w:pPr>
      <w:r w:rsidRPr="002752C6">
        <w:t>Care provision, integration and continuity – 2</w:t>
      </w:r>
    </w:p>
    <w:p w14:paraId="670AB248" w14:textId="77777777" w:rsidR="002752C6" w:rsidRPr="002752C6" w:rsidRDefault="002752C6" w:rsidP="00BE4E42">
      <w:pPr>
        <w:pStyle w:val="ListParagraph"/>
        <w:numPr>
          <w:ilvl w:val="0"/>
          <w:numId w:val="5"/>
        </w:numPr>
        <w:spacing w:after="0" w:line="240" w:lineRule="auto"/>
      </w:pPr>
      <w:r w:rsidRPr="002752C6">
        <w:t>Partnerships and communities – 3</w:t>
      </w:r>
    </w:p>
    <w:p w14:paraId="20666AD8" w14:textId="77777777" w:rsidR="002752C6" w:rsidRPr="002752C6" w:rsidRDefault="002752C6" w:rsidP="00BE4E42">
      <w:pPr>
        <w:spacing w:after="0" w:line="240" w:lineRule="auto"/>
      </w:pPr>
      <w:r w:rsidRPr="002752C6">
        <w:t>How the local authority ensures safety within the system</w:t>
      </w:r>
    </w:p>
    <w:p w14:paraId="141DAF85" w14:textId="77777777" w:rsidR="002752C6" w:rsidRPr="002752C6" w:rsidRDefault="002752C6" w:rsidP="00BE4E42">
      <w:pPr>
        <w:pStyle w:val="ListParagraph"/>
        <w:numPr>
          <w:ilvl w:val="0"/>
          <w:numId w:val="6"/>
        </w:numPr>
        <w:spacing w:after="0" w:line="240" w:lineRule="auto"/>
      </w:pPr>
      <w:r w:rsidRPr="002752C6">
        <w:t>Safe pathways, systems and transitions – 2</w:t>
      </w:r>
    </w:p>
    <w:p w14:paraId="51E34CFE" w14:textId="77777777" w:rsidR="002752C6" w:rsidRPr="002752C6" w:rsidRDefault="002752C6" w:rsidP="00BE4E42">
      <w:pPr>
        <w:pStyle w:val="ListParagraph"/>
        <w:numPr>
          <w:ilvl w:val="0"/>
          <w:numId w:val="6"/>
        </w:numPr>
        <w:spacing w:after="0" w:line="240" w:lineRule="auto"/>
      </w:pPr>
      <w:r w:rsidRPr="002752C6">
        <w:t>Safeguarding – 2</w:t>
      </w:r>
    </w:p>
    <w:p w14:paraId="180D97A6" w14:textId="77777777" w:rsidR="002752C6" w:rsidRPr="002752C6" w:rsidRDefault="002752C6" w:rsidP="00BE4E42">
      <w:pPr>
        <w:spacing w:after="0" w:line="240" w:lineRule="auto"/>
      </w:pPr>
      <w:r w:rsidRPr="002752C6">
        <w:t>Leadership</w:t>
      </w:r>
    </w:p>
    <w:p w14:paraId="5C7F79F1" w14:textId="77777777" w:rsidR="002752C6" w:rsidRPr="002752C6" w:rsidRDefault="002752C6" w:rsidP="00BE4E42">
      <w:pPr>
        <w:pStyle w:val="ListParagraph"/>
        <w:numPr>
          <w:ilvl w:val="0"/>
          <w:numId w:val="7"/>
        </w:numPr>
        <w:spacing w:after="0" w:line="240" w:lineRule="auto"/>
      </w:pPr>
      <w:r w:rsidRPr="002752C6">
        <w:t>Governance, management and sustainability – 2</w:t>
      </w:r>
    </w:p>
    <w:p w14:paraId="21760D10" w14:textId="77777777" w:rsidR="002752C6" w:rsidRPr="002752C6" w:rsidRDefault="002752C6" w:rsidP="00BE4E42">
      <w:pPr>
        <w:pStyle w:val="ListParagraph"/>
        <w:numPr>
          <w:ilvl w:val="0"/>
          <w:numId w:val="7"/>
        </w:numPr>
        <w:spacing w:after="120" w:line="240" w:lineRule="auto"/>
      </w:pPr>
      <w:r w:rsidRPr="002752C6">
        <w:t>Learning, improvement and innovation – 3</w:t>
      </w:r>
    </w:p>
    <w:p w14:paraId="4234217A" w14:textId="77777777" w:rsidR="00BE4E42" w:rsidRDefault="00BE4E42" w:rsidP="007022BE"/>
    <w:p w14:paraId="5B26DB73" w14:textId="403416F4" w:rsidR="002C2954" w:rsidRPr="00BE4E42" w:rsidRDefault="002C2954" w:rsidP="007022BE">
      <w:pPr>
        <w:rPr>
          <w:b/>
          <w:bCs/>
        </w:rPr>
      </w:pPr>
      <w:r w:rsidRPr="00BE4E42">
        <w:rPr>
          <w:b/>
          <w:bCs/>
        </w:rPr>
        <w:t>Our reflections</w:t>
      </w:r>
    </w:p>
    <w:p w14:paraId="53AD5413" w14:textId="7CBDC369" w:rsidR="002C2954" w:rsidRPr="002C2954" w:rsidRDefault="002C2954" w:rsidP="007022BE">
      <w:r w:rsidRPr="002C2954">
        <w:t xml:space="preserve">There are many positives to take from the CQC report, and importantly there were no surprises for the Council. All areas identified for improvement had already been recognised, voiced, and are either being addressed or form part of our transformation agenda. While we are disappointed that the inspection team judged our services at the </w:t>
      </w:r>
      <w:r w:rsidRPr="002C2954">
        <w:lastRenderedPageBreak/>
        <w:t xml:space="preserve">upper end of </w:t>
      </w:r>
      <w:r w:rsidRPr="002C2954">
        <w:rPr>
          <w:i/>
        </w:rPr>
        <w:t>Requires Improvement</w:t>
      </w:r>
      <w:r w:rsidRPr="002C2954">
        <w:t xml:space="preserve"> rather than </w:t>
      </w:r>
      <w:r w:rsidRPr="002C2954">
        <w:rPr>
          <w:i/>
        </w:rPr>
        <w:t>Good</w:t>
      </w:r>
      <w:r w:rsidRPr="002C2954">
        <w:t>, we acknowledge the continued need to strengthen consistency and build on the progress already made.</w:t>
      </w:r>
    </w:p>
    <w:p w14:paraId="3B7F49B3" w14:textId="56233DE7" w:rsidR="002C2954" w:rsidRPr="002C2954" w:rsidRDefault="002C2954" w:rsidP="007022BE">
      <w:r w:rsidRPr="002C2954">
        <w:t xml:space="preserve">The inspection process was lengthy but ultimately a constructive experience for those involved, including more than </w:t>
      </w:r>
      <w:r w:rsidR="00D92362">
        <w:t>1</w:t>
      </w:r>
      <w:r w:rsidR="00407948">
        <w:t xml:space="preserve">50 </w:t>
      </w:r>
      <w:r w:rsidRPr="002C2954">
        <w:t>staff members. We are particularly pleased that staff feedback was highly positive, with inspectors recognising the quality, enthusiasm, and professionalism of our workforce. Inspectors also highlighted a number of achievements, including:</w:t>
      </w:r>
    </w:p>
    <w:p w14:paraId="1D3B27FA" w14:textId="77777777" w:rsidR="002C2954" w:rsidRPr="002C2954" w:rsidRDefault="002C2954" w:rsidP="002C2954">
      <w:pPr>
        <w:pStyle w:val="NormalWeb"/>
        <w:numPr>
          <w:ilvl w:val="0"/>
          <w:numId w:val="3"/>
        </w:numPr>
        <w:rPr>
          <w:rFonts w:asciiTheme="minorHAnsi" w:eastAsiaTheme="minorHAnsi" w:hAnsiTheme="minorHAnsi" w:cstheme="minorBidi"/>
          <w:kern w:val="2"/>
          <w:lang w:eastAsia="en-US"/>
          <w14:ligatures w14:val="standardContextual"/>
        </w:rPr>
      </w:pPr>
      <w:r w:rsidRPr="002C2954">
        <w:rPr>
          <w:rFonts w:asciiTheme="minorHAnsi" w:eastAsiaTheme="minorHAnsi" w:hAnsiTheme="minorHAnsi" w:cstheme="minorBidi"/>
          <w:kern w:val="2"/>
          <w:lang w:eastAsia="en-US"/>
          <w14:ligatures w14:val="standardContextual"/>
        </w:rPr>
        <w:t>Reduced assessment waiting times and improved review processes</w:t>
      </w:r>
    </w:p>
    <w:p w14:paraId="01797465" w14:textId="77777777" w:rsidR="002C2954" w:rsidRPr="002C2954" w:rsidRDefault="002C2954" w:rsidP="002C2954">
      <w:pPr>
        <w:pStyle w:val="NormalWeb"/>
        <w:numPr>
          <w:ilvl w:val="0"/>
          <w:numId w:val="3"/>
        </w:numPr>
        <w:rPr>
          <w:rFonts w:asciiTheme="minorHAnsi" w:eastAsiaTheme="minorHAnsi" w:hAnsiTheme="minorHAnsi" w:cstheme="minorBidi"/>
          <w:kern w:val="2"/>
          <w:lang w:eastAsia="en-US"/>
          <w14:ligatures w14:val="standardContextual"/>
        </w:rPr>
      </w:pPr>
      <w:r w:rsidRPr="002C2954">
        <w:rPr>
          <w:rFonts w:asciiTheme="minorHAnsi" w:eastAsiaTheme="minorHAnsi" w:hAnsiTheme="minorHAnsi" w:cstheme="minorBidi"/>
          <w:kern w:val="2"/>
          <w:lang w:eastAsia="en-US"/>
          <w14:ligatures w14:val="standardContextual"/>
        </w:rPr>
        <w:t>Positive outcomes from strengths</w:t>
      </w:r>
      <w:r w:rsidRPr="002C2954">
        <w:rPr>
          <w:rFonts w:asciiTheme="minorHAnsi" w:eastAsiaTheme="minorHAnsi" w:hAnsiTheme="minorHAnsi" w:cstheme="minorBidi"/>
          <w:kern w:val="2"/>
          <w:lang w:eastAsia="en-US"/>
          <w14:ligatures w14:val="standardContextual"/>
        </w:rPr>
        <w:noBreakHyphen/>
        <w:t>based practice</w:t>
      </w:r>
    </w:p>
    <w:p w14:paraId="2B73009D" w14:textId="77777777" w:rsidR="002C2954" w:rsidRPr="002C2954" w:rsidRDefault="002C2954" w:rsidP="002C2954">
      <w:pPr>
        <w:pStyle w:val="NormalWeb"/>
        <w:numPr>
          <w:ilvl w:val="0"/>
          <w:numId w:val="3"/>
        </w:numPr>
        <w:rPr>
          <w:rFonts w:asciiTheme="minorHAnsi" w:eastAsiaTheme="minorHAnsi" w:hAnsiTheme="minorHAnsi" w:cstheme="minorBidi"/>
          <w:kern w:val="2"/>
          <w:lang w:eastAsia="en-US"/>
          <w14:ligatures w14:val="standardContextual"/>
        </w:rPr>
      </w:pPr>
      <w:r w:rsidRPr="002C2954">
        <w:rPr>
          <w:rFonts w:asciiTheme="minorHAnsi" w:eastAsiaTheme="minorHAnsi" w:hAnsiTheme="minorHAnsi" w:cstheme="minorBidi"/>
          <w:kern w:val="2"/>
          <w:lang w:eastAsia="en-US"/>
          <w14:ligatures w14:val="standardContextual"/>
        </w:rPr>
        <w:t>Progress of the new Adult Social Care Leadership Team and ambition within the transformation programme</w:t>
      </w:r>
    </w:p>
    <w:p w14:paraId="75EB4A2B" w14:textId="77777777" w:rsidR="002C2954" w:rsidRPr="002C2954" w:rsidRDefault="002C2954" w:rsidP="002C2954">
      <w:pPr>
        <w:pStyle w:val="NormalWeb"/>
        <w:numPr>
          <w:ilvl w:val="0"/>
          <w:numId w:val="3"/>
        </w:numPr>
        <w:rPr>
          <w:rFonts w:asciiTheme="minorHAnsi" w:eastAsiaTheme="minorHAnsi" w:hAnsiTheme="minorHAnsi" w:cstheme="minorBidi"/>
          <w:kern w:val="2"/>
          <w:lang w:eastAsia="en-US"/>
          <w14:ligatures w14:val="standardContextual"/>
        </w:rPr>
      </w:pPr>
      <w:r w:rsidRPr="002C2954">
        <w:rPr>
          <w:rFonts w:asciiTheme="minorHAnsi" w:eastAsiaTheme="minorHAnsi" w:hAnsiTheme="minorHAnsi" w:cstheme="minorBidi"/>
          <w:kern w:val="2"/>
          <w:lang w:eastAsia="en-US"/>
          <w14:ligatures w14:val="standardContextual"/>
        </w:rPr>
        <w:t>Delivery of our housing programme</w:t>
      </w:r>
    </w:p>
    <w:p w14:paraId="5E8955BC" w14:textId="77777777" w:rsidR="002C2954" w:rsidRPr="002C2954" w:rsidRDefault="002C2954" w:rsidP="002C2954">
      <w:pPr>
        <w:pStyle w:val="NormalWeb"/>
        <w:numPr>
          <w:ilvl w:val="0"/>
          <w:numId w:val="3"/>
        </w:numPr>
        <w:rPr>
          <w:rFonts w:asciiTheme="minorHAnsi" w:eastAsiaTheme="minorHAnsi" w:hAnsiTheme="minorHAnsi" w:cstheme="minorBidi"/>
          <w:kern w:val="2"/>
          <w:lang w:eastAsia="en-US"/>
          <w14:ligatures w14:val="standardContextual"/>
        </w:rPr>
      </w:pPr>
      <w:r w:rsidRPr="002C2954">
        <w:rPr>
          <w:rFonts w:asciiTheme="minorHAnsi" w:eastAsiaTheme="minorHAnsi" w:hAnsiTheme="minorHAnsi" w:cstheme="minorBidi"/>
          <w:kern w:val="2"/>
          <w:lang w:eastAsia="en-US"/>
          <w14:ligatures w14:val="standardContextual"/>
        </w:rPr>
        <w:t>Greater consistency of experience in home care</w:t>
      </w:r>
    </w:p>
    <w:p w14:paraId="55AAE423" w14:textId="77777777" w:rsidR="002C2954" w:rsidRPr="002C2954" w:rsidRDefault="002C2954" w:rsidP="002C2954">
      <w:pPr>
        <w:pStyle w:val="NormalWeb"/>
        <w:numPr>
          <w:ilvl w:val="0"/>
          <w:numId w:val="3"/>
        </w:numPr>
        <w:rPr>
          <w:rFonts w:asciiTheme="minorHAnsi" w:eastAsiaTheme="minorHAnsi" w:hAnsiTheme="minorHAnsi" w:cstheme="minorBidi"/>
          <w:kern w:val="2"/>
          <w:lang w:eastAsia="en-US"/>
          <w14:ligatures w14:val="standardContextual"/>
        </w:rPr>
      </w:pPr>
      <w:r w:rsidRPr="002C2954">
        <w:rPr>
          <w:rFonts w:asciiTheme="minorHAnsi" w:eastAsiaTheme="minorHAnsi" w:hAnsiTheme="minorHAnsi" w:cstheme="minorBidi"/>
          <w:kern w:val="2"/>
          <w:lang w:eastAsia="en-US"/>
          <w14:ligatures w14:val="standardContextual"/>
        </w:rPr>
        <w:t>Preventative services and proactive interventions delivering positive outcomes</w:t>
      </w:r>
    </w:p>
    <w:p w14:paraId="17FF0090" w14:textId="77777777" w:rsidR="002C2954" w:rsidRPr="002C2954" w:rsidRDefault="002C2954" w:rsidP="002C2954">
      <w:pPr>
        <w:pStyle w:val="NormalWeb"/>
        <w:numPr>
          <w:ilvl w:val="0"/>
          <w:numId w:val="3"/>
        </w:numPr>
        <w:rPr>
          <w:rFonts w:asciiTheme="minorHAnsi" w:eastAsiaTheme="minorHAnsi" w:hAnsiTheme="minorHAnsi" w:cstheme="minorBidi"/>
          <w:kern w:val="2"/>
          <w:lang w:eastAsia="en-US"/>
          <w14:ligatures w14:val="standardContextual"/>
        </w:rPr>
      </w:pPr>
      <w:r w:rsidRPr="002C2954">
        <w:rPr>
          <w:rFonts w:asciiTheme="minorHAnsi" w:eastAsiaTheme="minorHAnsi" w:hAnsiTheme="minorHAnsi" w:cstheme="minorBidi"/>
          <w:kern w:val="2"/>
          <w:lang w:eastAsia="en-US"/>
          <w14:ligatures w14:val="standardContextual"/>
        </w:rPr>
        <w:t>Work with marginalised communities to improve access and overcome barriers</w:t>
      </w:r>
    </w:p>
    <w:p w14:paraId="2CC552BB" w14:textId="77777777" w:rsidR="002C2954" w:rsidRPr="002C2954" w:rsidRDefault="002C2954" w:rsidP="002C2954">
      <w:pPr>
        <w:pStyle w:val="NormalWeb"/>
        <w:numPr>
          <w:ilvl w:val="0"/>
          <w:numId w:val="3"/>
        </w:numPr>
        <w:rPr>
          <w:rFonts w:asciiTheme="minorHAnsi" w:eastAsiaTheme="minorHAnsi" w:hAnsiTheme="minorHAnsi" w:cstheme="minorBidi"/>
          <w:kern w:val="2"/>
          <w:lang w:eastAsia="en-US"/>
          <w14:ligatures w14:val="standardContextual"/>
        </w:rPr>
      </w:pPr>
      <w:r w:rsidRPr="002C2954">
        <w:rPr>
          <w:rFonts w:asciiTheme="minorHAnsi" w:eastAsiaTheme="minorHAnsi" w:hAnsiTheme="minorHAnsi" w:cstheme="minorBidi"/>
          <w:kern w:val="2"/>
          <w:lang w:eastAsia="en-US"/>
          <w14:ligatures w14:val="standardContextual"/>
        </w:rPr>
        <w:t>An integrated approach across social care and community health</w:t>
      </w:r>
    </w:p>
    <w:p w14:paraId="29038F2D" w14:textId="77777777" w:rsidR="002C2954" w:rsidRPr="002C2954" w:rsidRDefault="002C2954" w:rsidP="002C2954">
      <w:pPr>
        <w:pStyle w:val="NormalWeb"/>
        <w:numPr>
          <w:ilvl w:val="0"/>
          <w:numId w:val="3"/>
        </w:numPr>
        <w:rPr>
          <w:rFonts w:asciiTheme="minorHAnsi" w:eastAsiaTheme="minorHAnsi" w:hAnsiTheme="minorHAnsi" w:cstheme="minorBidi"/>
          <w:kern w:val="2"/>
          <w:lang w:eastAsia="en-US"/>
          <w14:ligatures w14:val="standardContextual"/>
        </w:rPr>
      </w:pPr>
      <w:r w:rsidRPr="002C2954">
        <w:rPr>
          <w:rFonts w:asciiTheme="minorHAnsi" w:eastAsiaTheme="minorHAnsi" w:hAnsiTheme="minorHAnsi" w:cstheme="minorBidi"/>
          <w:kern w:val="2"/>
          <w:lang w:eastAsia="en-US"/>
          <w14:ligatures w14:val="standardContextual"/>
        </w:rPr>
        <w:t>Strong understanding of our population, used to shape strategies and services</w:t>
      </w:r>
    </w:p>
    <w:p w14:paraId="08987084" w14:textId="77777777" w:rsidR="002C2954" w:rsidRPr="002C2954" w:rsidRDefault="002C2954" w:rsidP="002C2954">
      <w:pPr>
        <w:pStyle w:val="NormalWeb"/>
        <w:numPr>
          <w:ilvl w:val="0"/>
          <w:numId w:val="3"/>
        </w:numPr>
        <w:rPr>
          <w:rFonts w:asciiTheme="minorHAnsi" w:eastAsiaTheme="minorHAnsi" w:hAnsiTheme="minorHAnsi" w:cstheme="minorBidi"/>
          <w:kern w:val="2"/>
          <w:lang w:eastAsia="en-US"/>
          <w14:ligatures w14:val="standardContextual"/>
        </w:rPr>
      </w:pPr>
      <w:r w:rsidRPr="002C2954">
        <w:rPr>
          <w:rFonts w:asciiTheme="minorHAnsi" w:eastAsiaTheme="minorHAnsi" w:hAnsiTheme="minorHAnsi" w:cstheme="minorBidi"/>
          <w:kern w:val="2"/>
          <w:lang w:eastAsia="en-US"/>
          <w14:ligatures w14:val="standardContextual"/>
        </w:rPr>
        <w:t>A learning culture that supports practice and safeguarding</w:t>
      </w:r>
    </w:p>
    <w:p w14:paraId="5B213026" w14:textId="77777777" w:rsidR="002C2954" w:rsidRPr="002C2954" w:rsidRDefault="002C2954" w:rsidP="002C2954">
      <w:pPr>
        <w:pStyle w:val="NormalWeb"/>
        <w:numPr>
          <w:ilvl w:val="0"/>
          <w:numId w:val="3"/>
        </w:numPr>
        <w:rPr>
          <w:rFonts w:asciiTheme="minorHAnsi" w:eastAsiaTheme="minorHAnsi" w:hAnsiTheme="minorHAnsi" w:cstheme="minorBidi"/>
          <w:kern w:val="2"/>
          <w:lang w:eastAsia="en-US"/>
          <w14:ligatures w14:val="standardContextual"/>
        </w:rPr>
      </w:pPr>
      <w:r w:rsidRPr="002C2954">
        <w:rPr>
          <w:rFonts w:asciiTheme="minorHAnsi" w:eastAsiaTheme="minorHAnsi" w:hAnsiTheme="minorHAnsi" w:cstheme="minorBidi"/>
          <w:kern w:val="2"/>
          <w:lang w:eastAsia="en-US"/>
          <w14:ligatures w14:val="standardContextual"/>
        </w:rPr>
        <w:t>Commitment to feedback and co</w:t>
      </w:r>
      <w:r w:rsidRPr="002C2954">
        <w:rPr>
          <w:rFonts w:asciiTheme="minorHAnsi" w:eastAsiaTheme="minorHAnsi" w:hAnsiTheme="minorHAnsi" w:cstheme="minorBidi"/>
          <w:kern w:val="2"/>
          <w:lang w:eastAsia="en-US"/>
          <w14:ligatures w14:val="standardContextual"/>
        </w:rPr>
        <w:noBreakHyphen/>
        <w:t>production</w:t>
      </w:r>
    </w:p>
    <w:p w14:paraId="08E4DF43" w14:textId="4964B22D" w:rsidR="00B75BF0" w:rsidRPr="00BE4E42" w:rsidRDefault="00BE4E42" w:rsidP="007022BE">
      <w:pPr>
        <w:rPr>
          <w:b/>
          <w:bCs/>
        </w:rPr>
      </w:pPr>
      <w:r>
        <w:rPr>
          <w:b/>
          <w:bCs/>
        </w:rPr>
        <w:t>Our</w:t>
      </w:r>
      <w:r w:rsidRPr="00BE4E42">
        <w:rPr>
          <w:b/>
          <w:bCs/>
        </w:rPr>
        <w:t xml:space="preserve"> transformation</w:t>
      </w:r>
      <w:r>
        <w:rPr>
          <w:b/>
          <w:bCs/>
        </w:rPr>
        <w:t xml:space="preserve"> programme</w:t>
      </w:r>
      <w:r w:rsidR="00AD36CF">
        <w:rPr>
          <w:b/>
          <w:bCs/>
        </w:rPr>
        <w:t xml:space="preserve"> </w:t>
      </w:r>
    </w:p>
    <w:p w14:paraId="2341047D" w14:textId="0ED47DA5" w:rsidR="002C2954" w:rsidRPr="002C2954" w:rsidRDefault="00117E5D" w:rsidP="007022BE">
      <w:r>
        <w:t>Throughout this year</w:t>
      </w:r>
      <w:r w:rsidR="002C2954" w:rsidRPr="002C2954">
        <w:t>, Adult Social Services has set out clear priorities for the future: embedding a relational approach to social care practice; strengthening our role and connections at community and neighbourhood level; focusing on population health; improving intermediate and complex care; and continuing to develop commissioning strategies that prioritise high</w:t>
      </w:r>
      <w:r w:rsidR="002C2954" w:rsidRPr="002C2954">
        <w:noBreakHyphen/>
        <w:t xml:space="preserve">quality provision and greater choice and independence for people. The CQC report endorses this direction, and the improvement plan arising from the inspection will be delivered through the </w:t>
      </w:r>
      <w:r w:rsidR="00250D89">
        <w:t xml:space="preserve">framework of the </w:t>
      </w:r>
      <w:r w:rsidR="002C2954" w:rsidRPr="002C2954">
        <w:t>transformation programme already agreed by the Council.</w:t>
      </w:r>
    </w:p>
    <w:p w14:paraId="18B71810" w14:textId="0ABCFA6F" w:rsidR="005C1AB2" w:rsidRPr="00AE01BE" w:rsidRDefault="005C1AB2">
      <w:pPr>
        <w:rPr>
          <w:b/>
          <w:bCs/>
        </w:rPr>
      </w:pPr>
      <w:r w:rsidRPr="00AE01BE">
        <w:rPr>
          <w:b/>
          <w:bCs/>
        </w:rPr>
        <w:t xml:space="preserve">Providing </w:t>
      </w:r>
      <w:r w:rsidR="0087253B" w:rsidRPr="00AE01BE">
        <w:rPr>
          <w:b/>
          <w:bCs/>
        </w:rPr>
        <w:t xml:space="preserve">further </w:t>
      </w:r>
      <w:r w:rsidRPr="00AE01BE">
        <w:rPr>
          <w:b/>
          <w:bCs/>
        </w:rPr>
        <w:t>assurance on key areas</w:t>
      </w:r>
      <w:r w:rsidR="0087253B" w:rsidRPr="00AE01BE">
        <w:rPr>
          <w:b/>
          <w:bCs/>
        </w:rPr>
        <w:t xml:space="preserve"> with the report</w:t>
      </w:r>
    </w:p>
    <w:p w14:paraId="71F21DB4" w14:textId="1A47B128" w:rsidR="005C1AB2" w:rsidRDefault="00CD4FB4">
      <w:r>
        <w:t>There are particular areas with</w:t>
      </w:r>
      <w:r w:rsidR="00435CCB">
        <w:t>in</w:t>
      </w:r>
      <w:r>
        <w:t xml:space="preserve"> the report that warrant further assurance to members. The team will be happy to support any separate or more detailed discussions that any members would like on </w:t>
      </w:r>
      <w:r w:rsidR="00761241">
        <w:t xml:space="preserve">these or other areas. </w:t>
      </w:r>
    </w:p>
    <w:p w14:paraId="47988753" w14:textId="0AFDD271" w:rsidR="00CD4FB4" w:rsidRPr="00AE01BE" w:rsidRDefault="00CD4FB4">
      <w:pPr>
        <w:rPr>
          <w:u w:val="single"/>
        </w:rPr>
      </w:pPr>
      <w:r w:rsidRPr="00AE01BE">
        <w:rPr>
          <w:u w:val="single"/>
        </w:rPr>
        <w:t>Safeguarding</w:t>
      </w:r>
    </w:p>
    <w:p w14:paraId="3A8CDD83" w14:textId="23FA5743" w:rsidR="00CD4FB4" w:rsidRDefault="00CD4FB4">
      <w:r>
        <w:t>In 2023, the Council commission</w:t>
      </w:r>
      <w:r w:rsidR="004F17E6">
        <w:t>ed</w:t>
      </w:r>
      <w:r>
        <w:t xml:space="preserve"> an independent review into our safeguarding processes and practices. This identified a number of areas of improvement that have </w:t>
      </w:r>
      <w:r w:rsidR="00A0328A">
        <w:t xml:space="preserve">since </w:t>
      </w:r>
      <w:r>
        <w:t xml:space="preserve">been </w:t>
      </w:r>
      <w:r w:rsidR="00A0328A">
        <w:t>delivered</w:t>
      </w:r>
      <w:r w:rsidR="004D5807">
        <w:t xml:space="preserve"> and this</w:t>
      </w:r>
      <w:r w:rsidR="007D5D5F">
        <w:t xml:space="preserve"> was verified through a</w:t>
      </w:r>
      <w:r>
        <w:t xml:space="preserve"> final inspection from the independent reviewer in January 2025.</w:t>
      </w:r>
    </w:p>
    <w:p w14:paraId="214514C6" w14:textId="55F279B5" w:rsidR="00CD4FB4" w:rsidRDefault="00CD4FB4">
      <w:r>
        <w:lastRenderedPageBreak/>
        <w:t>Norfolk performs well in national benchmarking around safeguarding</w:t>
      </w:r>
      <w:r w:rsidR="00E972F4">
        <w:t xml:space="preserve"> practice and impact. </w:t>
      </w:r>
      <w:r>
        <w:t xml:space="preserve"> </w:t>
      </w:r>
      <w:r w:rsidR="00FA6F28">
        <w:t xml:space="preserve">In addition, </w:t>
      </w:r>
      <w:r>
        <w:t>appreciative enquiry conducted this year</w:t>
      </w:r>
      <w:r w:rsidR="003B4F71">
        <w:t xml:space="preserve"> by senior managers on random cases</w:t>
      </w:r>
      <w:r>
        <w:t>, identified good practice and positive outcomes from individuals w</w:t>
      </w:r>
      <w:r w:rsidR="00435CCB">
        <w:t>ho</w:t>
      </w:r>
      <w:r>
        <w:t xml:space="preserve"> ha</w:t>
      </w:r>
      <w:r w:rsidR="00A11FF1">
        <w:t>d</w:t>
      </w:r>
      <w:r>
        <w:t xml:space="preserve"> </w:t>
      </w:r>
      <w:r w:rsidR="00A11FF1">
        <w:t>experienced safeguarding concerns</w:t>
      </w:r>
      <w:r w:rsidR="00542637">
        <w:t xml:space="preserve"> and raised no is</w:t>
      </w:r>
      <w:r w:rsidR="008D78BA">
        <w:t>sues with the cases reviewed</w:t>
      </w:r>
      <w:r w:rsidR="00A11FF1">
        <w:t xml:space="preserve">. </w:t>
      </w:r>
    </w:p>
    <w:p w14:paraId="0D843162" w14:textId="2267C2D4" w:rsidR="00CD4FB4" w:rsidRDefault="00CD4FB4">
      <w:r>
        <w:t xml:space="preserve"> Ultimately CQC inspectors concluded that it was still t</w:t>
      </w:r>
      <w:r w:rsidR="006075A9">
        <w:t>o</w:t>
      </w:r>
      <w:r>
        <w:t xml:space="preserve">o early to be able to see </w:t>
      </w:r>
      <w:r w:rsidR="00435CCB">
        <w:t xml:space="preserve">consistent </w:t>
      </w:r>
      <w:r>
        <w:t>outcomes from th</w:t>
      </w:r>
      <w:r w:rsidR="00A11FF1">
        <w:t>e embedded improvements</w:t>
      </w:r>
      <w:r>
        <w:t xml:space="preserve"> and </w:t>
      </w:r>
      <w:r w:rsidR="00435CCB">
        <w:t xml:space="preserve">additionally, </w:t>
      </w:r>
      <w:r>
        <w:t>feedback from care providers highlighted that they did not always receive timely responses from safeguarding concerns and felt that sometimes people stayed in inappropriate placements too long.</w:t>
      </w:r>
    </w:p>
    <w:p w14:paraId="15BB3F47" w14:textId="7315BB3C" w:rsidR="00CD4FB4" w:rsidRDefault="00A11FF1">
      <w:r>
        <w:t xml:space="preserve">A </w:t>
      </w:r>
      <w:r w:rsidR="003C6AEA">
        <w:t>professional’s</w:t>
      </w:r>
      <w:r>
        <w:t xml:space="preserve"> portal was introduced in April this year to improve both the quality of referral information and support more timely responses. We </w:t>
      </w:r>
      <w:r w:rsidR="00183E3C">
        <w:t>have been carrying out transformation work to make improvements to</w:t>
      </w:r>
      <w:r w:rsidR="00E83F15">
        <w:t xml:space="preserve"> the online portal in response to feedback from providers and other safeguarding partners</w:t>
      </w:r>
      <w:r>
        <w:t>.</w:t>
      </w:r>
      <w:r w:rsidR="00E83F15">
        <w:t xml:space="preserve"> Feedback is now being sent to providers via the </w:t>
      </w:r>
      <w:r w:rsidR="00AD09C4">
        <w:t>portal,</w:t>
      </w:r>
      <w:r w:rsidR="00E83F15">
        <w:t xml:space="preserve"> so they receive timely feedback on initial safe</w:t>
      </w:r>
      <w:r w:rsidR="00AB569D">
        <w:t xml:space="preserve">guarding decisions. In </w:t>
      </w:r>
      <w:r w:rsidR="00AD09C4">
        <w:t>addition, our</w:t>
      </w:r>
      <w:r w:rsidR="007B1D12">
        <w:t xml:space="preserve"> transformation programme inclu</w:t>
      </w:r>
      <w:r w:rsidR="006F65AA">
        <w:t>des a review of our front door service and our response to safeguarding concerns is within the scope of this work.</w:t>
      </w:r>
    </w:p>
    <w:p w14:paraId="39E61E33" w14:textId="605CB6B1" w:rsidR="00A11FF1" w:rsidRDefault="00A11FF1">
      <w:r>
        <w:t xml:space="preserve">We also have robust practice in place for individuals that need to be moved due to changing needs or indeed deterioration of quality of care by a provider. Where people have capacity and CQC registration </w:t>
      </w:r>
      <w:r w:rsidR="003C6AEA">
        <w:t>allows, individual</w:t>
      </w:r>
      <w:r>
        <w:t xml:space="preserve"> choice will always be given – and this can sometimes mean that people </w:t>
      </w:r>
      <w:r w:rsidR="00435CCB">
        <w:t xml:space="preserve">choose to </w:t>
      </w:r>
      <w:r>
        <w:t>stay in placements that we consider inappropriate. We are also working to increase the amount of choice that people have, so there are more alternatives. The specialist housing programme and complex care work</w:t>
      </w:r>
      <w:r w:rsidR="003C6AEA">
        <w:t>,</w:t>
      </w:r>
      <w:r>
        <w:t xml:space="preserve"> focused on nursing care</w:t>
      </w:r>
      <w:r w:rsidR="003C6AEA">
        <w:t>,</w:t>
      </w:r>
      <w:r>
        <w:t xml:space="preserve"> will help deliver this. </w:t>
      </w:r>
    </w:p>
    <w:p w14:paraId="4109D5E9" w14:textId="306B7CF3" w:rsidR="00CD4FB4" w:rsidRPr="00AE01BE" w:rsidRDefault="00A11FF1">
      <w:pPr>
        <w:rPr>
          <w:u w:val="single"/>
        </w:rPr>
      </w:pPr>
      <w:r w:rsidRPr="00AE01BE">
        <w:rPr>
          <w:u w:val="single"/>
        </w:rPr>
        <w:t>Reablement</w:t>
      </w:r>
      <w:r w:rsidR="00AE7CAC">
        <w:rPr>
          <w:u w:val="single"/>
        </w:rPr>
        <w:t xml:space="preserve"> capacity</w:t>
      </w:r>
    </w:p>
    <w:p w14:paraId="678D0911" w14:textId="10698AF1" w:rsidR="004164DA" w:rsidRPr="00C66D05" w:rsidRDefault="004164DA" w:rsidP="0082632A">
      <w:r w:rsidRPr="00C66D05">
        <w:t xml:space="preserve">Working in partnership with health colleagues, Norfolk achieved a </w:t>
      </w:r>
      <w:r w:rsidR="00EC776C">
        <w:t>58</w:t>
      </w:r>
      <w:r w:rsidRPr="00C66D05">
        <w:t xml:space="preserve">% growth in reablement capacity over the </w:t>
      </w:r>
      <w:r w:rsidRPr="00991773">
        <w:t xml:space="preserve">past </w:t>
      </w:r>
      <w:r w:rsidR="008C5292" w:rsidRPr="00991773">
        <w:t>3</w:t>
      </w:r>
      <w:r w:rsidRPr="00C66D05">
        <w:t xml:space="preserve"> years</w:t>
      </w:r>
      <w:r w:rsidR="008F27CA">
        <w:t xml:space="preserve"> up to March 2025</w:t>
      </w:r>
      <w:r w:rsidRPr="00C66D05">
        <w:t>,</w:t>
      </w:r>
      <w:r w:rsidR="00046CE6">
        <w:t xml:space="preserve"> which was sligh</w:t>
      </w:r>
      <w:r w:rsidR="00A0390A">
        <w:t xml:space="preserve">tly </w:t>
      </w:r>
      <w:r w:rsidR="00492B23">
        <w:t>higher than the increase in demand</w:t>
      </w:r>
      <w:r w:rsidR="00C27F4C">
        <w:t>. In addition</w:t>
      </w:r>
      <w:r w:rsidR="00242B39">
        <w:t xml:space="preserve">, </w:t>
      </w:r>
      <w:r w:rsidR="00941D2D">
        <w:t>a further £500,000</w:t>
      </w:r>
      <w:r w:rsidR="003F2579">
        <w:t xml:space="preserve"> investment</w:t>
      </w:r>
      <w:r w:rsidR="00AC260D">
        <w:t xml:space="preserve"> from the Better Care Fund was agree</w:t>
      </w:r>
      <w:r w:rsidR="00625ED1">
        <w:t>d</w:t>
      </w:r>
      <w:r w:rsidR="00E12C76">
        <w:t xml:space="preserve"> for 2025-26 enabling further expansion of reablement </w:t>
      </w:r>
      <w:r w:rsidR="00AE15A6">
        <w:t xml:space="preserve">since April 2025. </w:t>
      </w:r>
      <w:r w:rsidRPr="00C66D05">
        <w:t xml:space="preserve"> The scope of reablement has also expanded, enabling more people to benefit — even where ongoing support may still be required. This includes extending provision to people with dementia and mental health needs.</w:t>
      </w:r>
    </w:p>
    <w:p w14:paraId="0242E790" w14:textId="77777777" w:rsidR="00F937A2" w:rsidRDefault="004164DA" w:rsidP="0082632A">
      <w:r w:rsidRPr="00C66D05">
        <w:t xml:space="preserve">As part of the integrated care system, we are focused on ensuring sufficient intermediate care capacity. This has involved additional commissioning through the Caring for Better Outcomes contract. </w:t>
      </w:r>
    </w:p>
    <w:p w14:paraId="28A1AE50" w14:textId="4A97A3EA" w:rsidR="004164DA" w:rsidRPr="00C66D05" w:rsidRDefault="004164DA" w:rsidP="0082632A">
      <w:r w:rsidRPr="00C66D05">
        <w:t xml:space="preserve">Alongside this, </w:t>
      </w:r>
      <w:r w:rsidR="003A65DD">
        <w:t>our</w:t>
      </w:r>
      <w:r w:rsidR="006147AF">
        <w:t xml:space="preserve"> priorities are t</w:t>
      </w:r>
      <w:r w:rsidR="004303D4">
        <w:t>o strengthen placed based intermediate care models and further develop prevention networks and collaboration across professionals</w:t>
      </w:r>
      <w:r w:rsidR="002B0BC0">
        <w:t xml:space="preserve">. We </w:t>
      </w:r>
      <w:r w:rsidR="002B0BC0">
        <w:lastRenderedPageBreak/>
        <w:t xml:space="preserve">have already moved our main reablement service, Norfolk First Support, into our </w:t>
      </w:r>
      <w:r w:rsidR="00AD09C4">
        <w:t>place-based</w:t>
      </w:r>
      <w:r w:rsidR="002B0BC0">
        <w:t xml:space="preserve"> teams and this will allow us to further strengthen the local ownership and quality of the service. Our</w:t>
      </w:r>
      <w:r w:rsidRPr="00C66D05">
        <w:t xml:space="preserve"> transformation programme is maximising the impact of available resources — for example, ensuring that when people are re</w:t>
      </w:r>
      <w:r w:rsidR="00955E07">
        <w:t>-</w:t>
      </w:r>
      <w:r w:rsidRPr="00C66D05">
        <w:t>abled quickly, capacity is released to support as many individuals as possible.</w:t>
      </w:r>
    </w:p>
    <w:p w14:paraId="3D69ABE1" w14:textId="7C52F927" w:rsidR="00E25D22" w:rsidRPr="00AE01BE" w:rsidRDefault="00C528CF" w:rsidP="00921B00">
      <w:pPr>
        <w:rPr>
          <w:u w:val="single"/>
        </w:rPr>
      </w:pPr>
      <w:r w:rsidRPr="00AE01BE">
        <w:rPr>
          <w:u w:val="single"/>
        </w:rPr>
        <w:t>Carers</w:t>
      </w:r>
      <w:r w:rsidR="00450D2D" w:rsidRPr="00AE01BE">
        <w:rPr>
          <w:u w:val="single"/>
        </w:rPr>
        <w:t xml:space="preserve"> </w:t>
      </w:r>
    </w:p>
    <w:p w14:paraId="412B2B7B" w14:textId="5D1710AC" w:rsidR="00DD5F8E" w:rsidRPr="00FD59FC" w:rsidRDefault="00FD59FC" w:rsidP="0082632A">
      <w:r>
        <w:t>We are</w:t>
      </w:r>
      <w:r w:rsidR="00DD5F8E" w:rsidRPr="00FD59FC">
        <w:t xml:space="preserve"> proud of the progress made in </w:t>
      </w:r>
      <w:r w:rsidR="005454FE" w:rsidRPr="00FD59FC">
        <w:t>increasing the n</w:t>
      </w:r>
      <w:r w:rsidR="00B50E1A" w:rsidRPr="00FD59FC">
        <w:t xml:space="preserve">umber of unpaid carers </w:t>
      </w:r>
      <w:r w:rsidR="00DD5F8E" w:rsidRPr="00FD59FC">
        <w:t>identif</w:t>
      </w:r>
      <w:r w:rsidR="00B50E1A" w:rsidRPr="00FD59FC">
        <w:t xml:space="preserve">ied and supported in Norfolk, </w:t>
      </w:r>
      <w:r w:rsidR="00DD5F8E" w:rsidRPr="00FD59FC">
        <w:t xml:space="preserve">with services delivered through </w:t>
      </w:r>
      <w:r w:rsidR="00DD5F8E" w:rsidRPr="00FD59FC">
        <w:rPr>
          <w:i/>
        </w:rPr>
        <w:t>Carers Matter Norfolk</w:t>
      </w:r>
      <w:r w:rsidR="00DD5F8E" w:rsidRPr="00FD59FC">
        <w:t xml:space="preserve"> since 2017. Commissioned jointly by NCC and the ICB and with monitoring led by the Norfolk Cares Partnership, the contract operates via a social impact bond linked to three outcomes: increasing the number of carers known to the Council, improving wellbeing, and sustaining caring roles. Evidence shows strong impact, with 85% of carers still caring after a year of support and 86% reporting they received timely help.</w:t>
      </w:r>
    </w:p>
    <w:p w14:paraId="302FEBF2" w14:textId="45E8D2E6" w:rsidR="00DD5F8E" w:rsidRPr="00FD59FC" w:rsidRDefault="00DD5F8E" w:rsidP="0082632A">
      <w:r w:rsidRPr="00FD59FC">
        <w:t xml:space="preserve">However, </w:t>
      </w:r>
      <w:r w:rsidR="00EB62D0">
        <w:t xml:space="preserve">we </w:t>
      </w:r>
      <w:r w:rsidR="00B23B2D">
        <w:t>recognise</w:t>
      </w:r>
      <w:r w:rsidR="00E001DD">
        <w:t xml:space="preserve"> that some people who CQC spoke to did </w:t>
      </w:r>
      <w:r w:rsidR="00C91D2C">
        <w:t>not receive the support they n</w:t>
      </w:r>
      <w:r w:rsidR="00933FEE">
        <w:t>eeded</w:t>
      </w:r>
      <w:r w:rsidRPr="00FD59FC">
        <w:t xml:space="preserve">. </w:t>
      </w:r>
      <w:r w:rsidR="00933FEE">
        <w:t>Our s</w:t>
      </w:r>
      <w:r w:rsidRPr="00FD59FC">
        <w:t xml:space="preserve">urveys highlight that 41% of carers do not yet feel confident in their role, and </w:t>
      </w:r>
      <w:r w:rsidR="00190658" w:rsidRPr="00FD59FC">
        <w:t xml:space="preserve">although </w:t>
      </w:r>
      <w:r w:rsidRPr="00FD59FC">
        <w:t>national benchmarking shows Norfolk performs in line with peers</w:t>
      </w:r>
      <w:r w:rsidR="001F3760" w:rsidRPr="00FD59FC">
        <w:t xml:space="preserve"> and </w:t>
      </w:r>
      <w:r w:rsidR="00190658" w:rsidRPr="00FD59FC">
        <w:t>the national average</w:t>
      </w:r>
      <w:r w:rsidRPr="00FD59FC">
        <w:t xml:space="preserve">, satisfaction levels are low across the </w:t>
      </w:r>
      <w:r w:rsidR="00462E76" w:rsidRPr="00FD59FC">
        <w:t>country</w:t>
      </w:r>
      <w:r w:rsidRPr="00FD59FC">
        <w:t xml:space="preserve">. Building consistency, confidence, and resilience in carer </w:t>
      </w:r>
      <w:r w:rsidR="00FD59FC" w:rsidRPr="00FD59FC">
        <w:t xml:space="preserve">assessment and </w:t>
      </w:r>
      <w:r w:rsidRPr="00FD59FC">
        <w:t>support therefore remains a priority, alongside continued collaboration with carers’ organisations and delivery of the All</w:t>
      </w:r>
      <w:r w:rsidRPr="00FD59FC">
        <w:noBreakHyphen/>
        <w:t>Age Carers Strategy.</w:t>
      </w:r>
    </w:p>
    <w:p w14:paraId="16E8B0CA" w14:textId="77777777" w:rsidR="00DD5F8E" w:rsidRPr="00DD5F8E" w:rsidRDefault="00DD5F8E" w:rsidP="00DD5F8E"/>
    <w:sectPr w:rsidR="00DD5F8E" w:rsidRPr="00DD5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E0E"/>
    <w:multiLevelType w:val="hybridMultilevel"/>
    <w:tmpl w:val="61EE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D5952"/>
    <w:multiLevelType w:val="multilevel"/>
    <w:tmpl w:val="B5144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55034"/>
    <w:multiLevelType w:val="multilevel"/>
    <w:tmpl w:val="3FF8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67DFC"/>
    <w:multiLevelType w:val="hybridMultilevel"/>
    <w:tmpl w:val="E23E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682584"/>
    <w:multiLevelType w:val="hybridMultilevel"/>
    <w:tmpl w:val="34E212D8"/>
    <w:lvl w:ilvl="0" w:tplc="1772D2EC">
      <w:start w:val="3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3E34D0"/>
    <w:multiLevelType w:val="hybridMultilevel"/>
    <w:tmpl w:val="77FC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594AA6"/>
    <w:multiLevelType w:val="hybridMultilevel"/>
    <w:tmpl w:val="0D70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669020">
    <w:abstractNumId w:val="4"/>
  </w:num>
  <w:num w:numId="2" w16cid:durableId="1000694509">
    <w:abstractNumId w:val="1"/>
  </w:num>
  <w:num w:numId="3" w16cid:durableId="1723166786">
    <w:abstractNumId w:val="2"/>
  </w:num>
  <w:num w:numId="4" w16cid:durableId="1543903856">
    <w:abstractNumId w:val="6"/>
  </w:num>
  <w:num w:numId="5" w16cid:durableId="1492133212">
    <w:abstractNumId w:val="0"/>
  </w:num>
  <w:num w:numId="6" w16cid:durableId="694961716">
    <w:abstractNumId w:val="5"/>
  </w:num>
  <w:num w:numId="7" w16cid:durableId="1864782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B2"/>
    <w:rsid w:val="00006E60"/>
    <w:rsid w:val="00031B41"/>
    <w:rsid w:val="00046CE6"/>
    <w:rsid w:val="00052014"/>
    <w:rsid w:val="000610E9"/>
    <w:rsid w:val="000A75D9"/>
    <w:rsid w:val="00117E5D"/>
    <w:rsid w:val="001469F8"/>
    <w:rsid w:val="0016032E"/>
    <w:rsid w:val="00183E3C"/>
    <w:rsid w:val="00190658"/>
    <w:rsid w:val="00195B94"/>
    <w:rsid w:val="001B2581"/>
    <w:rsid w:val="001B5B1B"/>
    <w:rsid w:val="001C1467"/>
    <w:rsid w:val="001F03FB"/>
    <w:rsid w:val="001F3760"/>
    <w:rsid w:val="00233731"/>
    <w:rsid w:val="00242B39"/>
    <w:rsid w:val="00250D89"/>
    <w:rsid w:val="002752C6"/>
    <w:rsid w:val="002A0B4B"/>
    <w:rsid w:val="002B0BC0"/>
    <w:rsid w:val="002B0EAB"/>
    <w:rsid w:val="002C2954"/>
    <w:rsid w:val="002C5990"/>
    <w:rsid w:val="00306D97"/>
    <w:rsid w:val="00333DC8"/>
    <w:rsid w:val="003372F8"/>
    <w:rsid w:val="00343F9F"/>
    <w:rsid w:val="003A65DD"/>
    <w:rsid w:val="003B4F71"/>
    <w:rsid w:val="003B5FC6"/>
    <w:rsid w:val="003C6AEA"/>
    <w:rsid w:val="003F2579"/>
    <w:rsid w:val="003F4230"/>
    <w:rsid w:val="003F5A41"/>
    <w:rsid w:val="00407948"/>
    <w:rsid w:val="004164DA"/>
    <w:rsid w:val="004303D4"/>
    <w:rsid w:val="00435CCB"/>
    <w:rsid w:val="00446CA7"/>
    <w:rsid w:val="00450D2D"/>
    <w:rsid w:val="00462E76"/>
    <w:rsid w:val="0047695C"/>
    <w:rsid w:val="00484468"/>
    <w:rsid w:val="00492B23"/>
    <w:rsid w:val="004D0203"/>
    <w:rsid w:val="004D5807"/>
    <w:rsid w:val="004E1327"/>
    <w:rsid w:val="004F17E6"/>
    <w:rsid w:val="0050617B"/>
    <w:rsid w:val="0052017D"/>
    <w:rsid w:val="00526EC7"/>
    <w:rsid w:val="00536B34"/>
    <w:rsid w:val="00542637"/>
    <w:rsid w:val="005454FE"/>
    <w:rsid w:val="00547290"/>
    <w:rsid w:val="005731FF"/>
    <w:rsid w:val="00595DBD"/>
    <w:rsid w:val="005B10A7"/>
    <w:rsid w:val="005B5FA7"/>
    <w:rsid w:val="005C1AB2"/>
    <w:rsid w:val="006075A9"/>
    <w:rsid w:val="006147AF"/>
    <w:rsid w:val="00625ED1"/>
    <w:rsid w:val="006501A4"/>
    <w:rsid w:val="006755F2"/>
    <w:rsid w:val="006843EB"/>
    <w:rsid w:val="006A3F7E"/>
    <w:rsid w:val="006B1BBD"/>
    <w:rsid w:val="006C3D78"/>
    <w:rsid w:val="006D45AD"/>
    <w:rsid w:val="006F65AA"/>
    <w:rsid w:val="007022BE"/>
    <w:rsid w:val="007446D8"/>
    <w:rsid w:val="00761241"/>
    <w:rsid w:val="00762AD0"/>
    <w:rsid w:val="007B1D12"/>
    <w:rsid w:val="007D5D5F"/>
    <w:rsid w:val="0082632A"/>
    <w:rsid w:val="00854839"/>
    <w:rsid w:val="0087253B"/>
    <w:rsid w:val="0088540A"/>
    <w:rsid w:val="008A3153"/>
    <w:rsid w:val="008B6EC5"/>
    <w:rsid w:val="008C5292"/>
    <w:rsid w:val="008D78BA"/>
    <w:rsid w:val="008E0132"/>
    <w:rsid w:val="008F27CA"/>
    <w:rsid w:val="009023E1"/>
    <w:rsid w:val="00921B00"/>
    <w:rsid w:val="00933FEE"/>
    <w:rsid w:val="00941D2D"/>
    <w:rsid w:val="00955E07"/>
    <w:rsid w:val="00970DEC"/>
    <w:rsid w:val="00991773"/>
    <w:rsid w:val="009B222D"/>
    <w:rsid w:val="009B705C"/>
    <w:rsid w:val="009D0464"/>
    <w:rsid w:val="00A02E84"/>
    <w:rsid w:val="00A0328A"/>
    <w:rsid w:val="00A0390A"/>
    <w:rsid w:val="00A11FF1"/>
    <w:rsid w:val="00A93EFD"/>
    <w:rsid w:val="00AB569D"/>
    <w:rsid w:val="00AC260D"/>
    <w:rsid w:val="00AD09C4"/>
    <w:rsid w:val="00AD36CF"/>
    <w:rsid w:val="00AE01BE"/>
    <w:rsid w:val="00AE15A6"/>
    <w:rsid w:val="00AE7CAC"/>
    <w:rsid w:val="00B23B2D"/>
    <w:rsid w:val="00B50E1A"/>
    <w:rsid w:val="00B75BF0"/>
    <w:rsid w:val="00B80A7A"/>
    <w:rsid w:val="00BE4E42"/>
    <w:rsid w:val="00C018FC"/>
    <w:rsid w:val="00C27F4C"/>
    <w:rsid w:val="00C528CF"/>
    <w:rsid w:val="00C5739C"/>
    <w:rsid w:val="00C65E90"/>
    <w:rsid w:val="00C66D05"/>
    <w:rsid w:val="00C7314D"/>
    <w:rsid w:val="00C842B9"/>
    <w:rsid w:val="00C91D2C"/>
    <w:rsid w:val="00C95E8C"/>
    <w:rsid w:val="00CD4FB4"/>
    <w:rsid w:val="00D37AF7"/>
    <w:rsid w:val="00D43865"/>
    <w:rsid w:val="00D74449"/>
    <w:rsid w:val="00D91E98"/>
    <w:rsid w:val="00D92362"/>
    <w:rsid w:val="00DD5F8E"/>
    <w:rsid w:val="00DF4D70"/>
    <w:rsid w:val="00E001DD"/>
    <w:rsid w:val="00E12C76"/>
    <w:rsid w:val="00E25D22"/>
    <w:rsid w:val="00E42388"/>
    <w:rsid w:val="00E462BC"/>
    <w:rsid w:val="00E73AF5"/>
    <w:rsid w:val="00E83F15"/>
    <w:rsid w:val="00E90C43"/>
    <w:rsid w:val="00E972F4"/>
    <w:rsid w:val="00EB62D0"/>
    <w:rsid w:val="00EC776C"/>
    <w:rsid w:val="00ED39AE"/>
    <w:rsid w:val="00F16B34"/>
    <w:rsid w:val="00F51A7C"/>
    <w:rsid w:val="00F8540F"/>
    <w:rsid w:val="00F87EAA"/>
    <w:rsid w:val="00F937A2"/>
    <w:rsid w:val="00F96D43"/>
    <w:rsid w:val="00FA6F28"/>
    <w:rsid w:val="00FD5312"/>
    <w:rsid w:val="00FD59FC"/>
    <w:rsid w:val="00FE3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C19B"/>
  <w15:chartTrackingRefBased/>
  <w15:docId w15:val="{04A0D49C-E6EB-4EC7-A1EA-ED71434F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AB2"/>
    <w:rPr>
      <w:rFonts w:eastAsiaTheme="majorEastAsia" w:cstheme="majorBidi"/>
      <w:color w:val="272727" w:themeColor="text1" w:themeTint="D8"/>
    </w:rPr>
  </w:style>
  <w:style w:type="paragraph" w:styleId="Title">
    <w:name w:val="Title"/>
    <w:basedOn w:val="Normal"/>
    <w:next w:val="Normal"/>
    <w:link w:val="TitleChar"/>
    <w:uiPriority w:val="10"/>
    <w:qFormat/>
    <w:rsid w:val="005C1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AB2"/>
    <w:pPr>
      <w:spacing w:before="160"/>
      <w:jc w:val="center"/>
    </w:pPr>
    <w:rPr>
      <w:i/>
      <w:iCs/>
      <w:color w:val="404040" w:themeColor="text1" w:themeTint="BF"/>
    </w:rPr>
  </w:style>
  <w:style w:type="character" w:customStyle="1" w:styleId="QuoteChar">
    <w:name w:val="Quote Char"/>
    <w:basedOn w:val="DefaultParagraphFont"/>
    <w:link w:val="Quote"/>
    <w:uiPriority w:val="29"/>
    <w:rsid w:val="005C1AB2"/>
    <w:rPr>
      <w:i/>
      <w:iCs/>
      <w:color w:val="404040" w:themeColor="text1" w:themeTint="BF"/>
    </w:rPr>
  </w:style>
  <w:style w:type="paragraph" w:styleId="ListParagraph">
    <w:name w:val="List Paragraph"/>
    <w:basedOn w:val="Normal"/>
    <w:uiPriority w:val="34"/>
    <w:qFormat/>
    <w:rsid w:val="005C1AB2"/>
    <w:pPr>
      <w:ind w:left="720"/>
      <w:contextualSpacing/>
    </w:pPr>
  </w:style>
  <w:style w:type="character" w:styleId="IntenseEmphasis">
    <w:name w:val="Intense Emphasis"/>
    <w:basedOn w:val="DefaultParagraphFont"/>
    <w:uiPriority w:val="21"/>
    <w:qFormat/>
    <w:rsid w:val="005C1AB2"/>
    <w:rPr>
      <w:i/>
      <w:iCs/>
      <w:color w:val="0F4761" w:themeColor="accent1" w:themeShade="BF"/>
    </w:rPr>
  </w:style>
  <w:style w:type="paragraph" w:styleId="IntenseQuote">
    <w:name w:val="Intense Quote"/>
    <w:basedOn w:val="Normal"/>
    <w:next w:val="Normal"/>
    <w:link w:val="IntenseQuoteChar"/>
    <w:uiPriority w:val="30"/>
    <w:qFormat/>
    <w:rsid w:val="005C1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AB2"/>
    <w:rPr>
      <w:i/>
      <w:iCs/>
      <w:color w:val="0F4761" w:themeColor="accent1" w:themeShade="BF"/>
    </w:rPr>
  </w:style>
  <w:style w:type="character" w:styleId="IntenseReference">
    <w:name w:val="Intense Reference"/>
    <w:basedOn w:val="DefaultParagraphFont"/>
    <w:uiPriority w:val="32"/>
    <w:qFormat/>
    <w:rsid w:val="005C1AB2"/>
    <w:rPr>
      <w:b/>
      <w:bCs/>
      <w:smallCaps/>
      <w:color w:val="0F4761" w:themeColor="accent1" w:themeShade="BF"/>
      <w:spacing w:val="5"/>
    </w:rPr>
  </w:style>
  <w:style w:type="paragraph" w:styleId="NormalWeb">
    <w:name w:val="Normal (Web)"/>
    <w:basedOn w:val="Normal"/>
    <w:uiPriority w:val="99"/>
    <w:semiHidden/>
    <w:unhideWhenUsed/>
    <w:rsid w:val="005B5FA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B5FA7"/>
    <w:rPr>
      <w:i/>
      <w:iCs/>
    </w:rPr>
  </w:style>
  <w:style w:type="character" w:styleId="Strong">
    <w:name w:val="Strong"/>
    <w:basedOn w:val="DefaultParagraphFont"/>
    <w:uiPriority w:val="22"/>
    <w:qFormat/>
    <w:rsid w:val="00416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CD78204A886049BE3F51F6AF3EB4F7" ma:contentTypeVersion="4" ma:contentTypeDescription="Create a new document." ma:contentTypeScope="" ma:versionID="d83d786cda3b073900be153f606d3a4c">
  <xsd:schema xmlns:xsd="http://www.w3.org/2001/XMLSchema" xmlns:xs="http://www.w3.org/2001/XMLSchema" xmlns:p="http://schemas.microsoft.com/office/2006/metadata/properties" xmlns:ns2="d1ce10d8-d6f7-4a9c-a916-b976b425739c" targetNamespace="http://schemas.microsoft.com/office/2006/metadata/properties" ma:root="true" ma:fieldsID="1db8e934e01023117284e62ab5caecea" ns2:_="">
    <xsd:import namespace="d1ce10d8-d6f7-4a9c-a916-b976b42573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e10d8-d6f7-4a9c-a916-b976b4257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AF540-EFC9-4436-A18C-2AD0A65CD1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78D8A-82E6-43B7-A9F6-56F1DA23F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e10d8-d6f7-4a9c-a916-b976b4257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2930CF-DFE2-4632-8816-F5FAC1A6D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1270</Words>
  <Characters>7370</Characters>
  <Application>Microsoft Office Word</Application>
  <DocSecurity>0</DocSecurity>
  <Lines>130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Baldwin</dc:creator>
  <cp:keywords/>
  <dc:description/>
  <cp:lastModifiedBy>Edward Maxfield</cp:lastModifiedBy>
  <cp:revision>3</cp:revision>
  <dcterms:created xsi:type="dcterms:W3CDTF">2026-01-01T10:42:00Z</dcterms:created>
  <dcterms:modified xsi:type="dcterms:W3CDTF">2026-01-01T10:43:00Z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0x010100E1CD78204A886049BE3F51F6AF3EB4F7</vt:lpwstr>
  </property>
</Properties>
</file>